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_GB2312" w:hAnsi="仿宋" w:eastAsia="仿宋_GB2312"/>
          <w:b/>
          <w:sz w:val="36"/>
          <w:szCs w:val="36"/>
          <w:lang w:eastAsia="zh-CN"/>
        </w:rPr>
      </w:pPr>
      <w:r>
        <w:rPr>
          <w:rFonts w:hint="eastAsia" w:ascii="仿宋_GB2312" w:hAnsi="仿宋" w:eastAsia="仿宋_GB2312"/>
          <w:b/>
          <w:sz w:val="36"/>
          <w:szCs w:val="36"/>
        </w:rPr>
        <w:t xml:space="preserve"> </w:t>
      </w:r>
      <w:r>
        <w:rPr>
          <w:rFonts w:hint="eastAsia" w:ascii="仿宋_GB2312" w:hAnsi="仿宋" w:eastAsia="仿宋_GB2312" w:cs="宋体"/>
          <w:b/>
          <w:sz w:val="36"/>
          <w:szCs w:val="36"/>
        </w:rPr>
        <w:t>供应商</w:t>
      </w:r>
      <w:r>
        <w:rPr>
          <w:rFonts w:hint="eastAsia" w:ascii="仿宋_GB2312" w:hAnsi="仿宋" w:eastAsia="仿宋_GB2312" w:cs="宋体"/>
          <w:b/>
          <w:sz w:val="36"/>
          <w:szCs w:val="36"/>
          <w:lang w:eastAsia="zh-CN"/>
        </w:rPr>
        <w:t>行为规范</w:t>
      </w:r>
    </w:p>
    <w:p>
      <w:pPr>
        <w:spacing w:line="500" w:lineRule="exact"/>
        <w:ind w:firstLine="470" w:firstLineChars="168"/>
        <w:rPr>
          <w:rFonts w:hint="eastAsia" w:ascii="仿宋_GB2312" w:hAnsi="仿宋" w:eastAsia="仿宋_GB2312"/>
          <w:iCs/>
          <w:sz w:val="28"/>
          <w:szCs w:val="28"/>
        </w:rPr>
      </w:pPr>
    </w:p>
    <w:p>
      <w:pPr>
        <w:spacing w:line="500" w:lineRule="exact"/>
        <w:ind w:firstLine="470" w:firstLineChars="168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iCs/>
          <w:sz w:val="28"/>
          <w:szCs w:val="28"/>
        </w:rPr>
        <w:t>一、</w:t>
      </w:r>
      <w:r>
        <w:rPr>
          <w:rFonts w:hint="eastAsia" w:ascii="仿宋_GB2312" w:hAnsi="仿宋" w:eastAsia="仿宋_GB2312"/>
          <w:sz w:val="28"/>
          <w:szCs w:val="28"/>
        </w:rPr>
        <w:t>供应商参加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台山市国有粮食集团有限公司采购</w:t>
      </w:r>
      <w:r>
        <w:rPr>
          <w:rFonts w:hint="eastAsia" w:ascii="仿宋_GB2312" w:hAnsi="仿宋" w:eastAsia="仿宋_GB2312"/>
          <w:sz w:val="28"/>
          <w:szCs w:val="28"/>
        </w:rPr>
        <w:t>活动应当遵循公平竞争、诚实信用原则。</w:t>
      </w:r>
    </w:p>
    <w:p>
      <w:pPr>
        <w:spacing w:line="500" w:lineRule="exact"/>
        <w:ind w:firstLine="470" w:firstLineChars="168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</w:t>
      </w:r>
      <w:r>
        <w:rPr>
          <w:rFonts w:hint="eastAsia" w:ascii="仿宋_GB2312" w:hAnsi="仿宋" w:eastAsia="仿宋_GB2312"/>
          <w:iCs/>
          <w:sz w:val="28"/>
          <w:szCs w:val="28"/>
        </w:rPr>
        <w:t>供应商</w:t>
      </w:r>
      <w:r>
        <w:rPr>
          <w:rFonts w:hint="eastAsia" w:ascii="仿宋_GB2312" w:hAnsi="仿宋" w:eastAsia="仿宋_GB2312"/>
          <w:sz w:val="28"/>
          <w:szCs w:val="28"/>
        </w:rPr>
        <w:t>参加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台山市国有粮食集团有限公司</w:t>
      </w:r>
      <w:r>
        <w:rPr>
          <w:rFonts w:hint="eastAsia" w:ascii="仿宋_GB2312" w:hAnsi="仿宋" w:eastAsia="仿宋_GB2312"/>
          <w:sz w:val="28"/>
          <w:szCs w:val="28"/>
        </w:rPr>
        <w:t>采购活动应当具备法律法规规定的条件，在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台山市国有粮食集团有限公司供应商库</w:t>
      </w:r>
      <w:r>
        <w:rPr>
          <w:rFonts w:hint="eastAsia" w:ascii="仿宋_GB2312" w:hAnsi="仿宋" w:eastAsia="仿宋_GB2312"/>
          <w:sz w:val="28"/>
          <w:szCs w:val="28"/>
        </w:rPr>
        <w:t>上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完成入库申请</w:t>
      </w:r>
      <w:r>
        <w:rPr>
          <w:rFonts w:hint="eastAsia" w:ascii="仿宋_GB2312" w:hAnsi="仿宋" w:eastAsia="仿宋_GB2312"/>
          <w:sz w:val="28"/>
          <w:szCs w:val="28"/>
        </w:rPr>
        <w:t>，并依法提供有关资料并接受采购人的资格审查。</w:t>
      </w:r>
    </w:p>
    <w:p>
      <w:pPr>
        <w:spacing w:line="500" w:lineRule="exact"/>
        <w:ind w:firstLine="470" w:firstLineChars="168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三、供应商应当遵守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台山市国有粮食集团有限公司</w:t>
      </w:r>
      <w:r>
        <w:rPr>
          <w:rFonts w:hint="eastAsia" w:ascii="仿宋_GB2312" w:hAnsi="仿宋" w:eastAsia="仿宋_GB2312"/>
          <w:sz w:val="28"/>
          <w:szCs w:val="28"/>
        </w:rPr>
        <w:t>采购评审纪律。</w:t>
      </w:r>
    </w:p>
    <w:p>
      <w:pPr>
        <w:spacing w:line="500" w:lineRule="exact"/>
        <w:ind w:firstLine="470" w:firstLineChars="168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四、供应商应当按规定与采购人签订采购合同，并严格履行合同。</w:t>
      </w:r>
    </w:p>
    <w:p>
      <w:pPr>
        <w:spacing w:line="500" w:lineRule="exact"/>
        <w:ind w:firstLine="470" w:firstLineChars="168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五、</w:t>
      </w:r>
      <w:r>
        <w:rPr>
          <w:rFonts w:hint="eastAsia" w:ascii="仿宋_GB2312" w:hAnsi="仿宋" w:eastAsia="仿宋_GB2312"/>
          <w:iCs/>
          <w:sz w:val="28"/>
          <w:szCs w:val="28"/>
        </w:rPr>
        <w:t>供应商</w:t>
      </w:r>
      <w:r>
        <w:rPr>
          <w:rFonts w:hint="eastAsia" w:ascii="仿宋_GB2312" w:hAnsi="仿宋" w:eastAsia="仿宋_GB2312" w:cs="宋体"/>
          <w:sz w:val="28"/>
          <w:szCs w:val="28"/>
        </w:rPr>
        <w:t>应当</w:t>
      </w:r>
      <w:r>
        <w:rPr>
          <w:rFonts w:hint="eastAsia" w:ascii="仿宋_GB2312" w:hAnsi="仿宋" w:eastAsia="仿宋_GB2312"/>
          <w:sz w:val="28"/>
          <w:szCs w:val="28"/>
        </w:rPr>
        <w:t>配合采</w:t>
      </w:r>
      <w:r>
        <w:rPr>
          <w:rFonts w:hint="eastAsia" w:ascii="仿宋_GB2312" w:hAnsi="仿宋" w:eastAsia="仿宋_GB2312" w:cs="宋体"/>
          <w:sz w:val="28"/>
          <w:szCs w:val="28"/>
        </w:rPr>
        <w:t>购</w:t>
      </w:r>
      <w:r>
        <w:rPr>
          <w:rFonts w:hint="eastAsia" w:ascii="仿宋_GB2312" w:hAnsi="仿宋" w:eastAsia="仿宋_GB2312"/>
          <w:sz w:val="28"/>
          <w:szCs w:val="28"/>
        </w:rPr>
        <w:t>人答</w:t>
      </w:r>
      <w:r>
        <w:rPr>
          <w:rFonts w:hint="eastAsia" w:ascii="仿宋_GB2312" w:hAnsi="仿宋" w:eastAsia="仿宋_GB2312" w:cs="宋体"/>
          <w:sz w:val="28"/>
          <w:szCs w:val="28"/>
        </w:rPr>
        <w:t>复</w:t>
      </w:r>
      <w:r>
        <w:rPr>
          <w:rFonts w:hint="eastAsia" w:ascii="仿宋_GB2312" w:hAnsi="仿宋" w:eastAsia="仿宋_GB2312"/>
          <w:sz w:val="28"/>
          <w:szCs w:val="28"/>
        </w:rPr>
        <w:t>投</w:t>
      </w:r>
      <w:r>
        <w:rPr>
          <w:rFonts w:hint="eastAsia" w:ascii="仿宋_GB2312" w:hAnsi="仿宋" w:eastAsia="仿宋_GB2312" w:cs="宋体"/>
          <w:sz w:val="28"/>
          <w:szCs w:val="28"/>
        </w:rPr>
        <w:t>标</w:t>
      </w:r>
      <w:r>
        <w:rPr>
          <w:rFonts w:hint="eastAsia" w:ascii="仿宋_GB2312" w:hAnsi="仿宋" w:eastAsia="仿宋_GB2312"/>
          <w:sz w:val="28"/>
          <w:szCs w:val="28"/>
        </w:rPr>
        <w:t>供</w:t>
      </w:r>
      <w:r>
        <w:rPr>
          <w:rFonts w:hint="eastAsia" w:ascii="仿宋_GB2312" w:hAnsi="仿宋" w:eastAsia="仿宋_GB2312" w:cs="宋体"/>
          <w:sz w:val="28"/>
          <w:szCs w:val="28"/>
        </w:rPr>
        <w:t>应</w:t>
      </w:r>
      <w:r>
        <w:rPr>
          <w:rFonts w:hint="eastAsia" w:ascii="仿宋_GB2312" w:hAnsi="仿宋" w:eastAsia="仿宋_GB2312"/>
          <w:sz w:val="28"/>
          <w:szCs w:val="28"/>
        </w:rPr>
        <w:t>商提出的</w:t>
      </w:r>
      <w:r>
        <w:rPr>
          <w:rFonts w:hint="eastAsia" w:ascii="仿宋_GB2312" w:hAnsi="仿宋" w:eastAsia="仿宋_GB2312" w:cs="宋体"/>
          <w:sz w:val="28"/>
          <w:szCs w:val="28"/>
        </w:rPr>
        <w:t>质</w:t>
      </w:r>
      <w:r>
        <w:rPr>
          <w:rFonts w:hint="eastAsia" w:ascii="仿宋_GB2312" w:hAnsi="仿宋" w:eastAsia="仿宋_GB2312"/>
          <w:sz w:val="28"/>
          <w:szCs w:val="28"/>
        </w:rPr>
        <w:t>疑，并配合</w:t>
      </w:r>
      <w:r>
        <w:rPr>
          <w:rFonts w:hint="eastAsia" w:ascii="仿宋_GB2312" w:hAnsi="仿宋" w:eastAsia="仿宋_GB2312" w:cs="宋体"/>
          <w:sz w:val="28"/>
          <w:szCs w:val="28"/>
        </w:rPr>
        <w:t>采购监督管理</w:t>
      </w:r>
      <w:r>
        <w:rPr>
          <w:rFonts w:hint="eastAsia" w:ascii="仿宋_GB2312" w:hAnsi="仿宋" w:eastAsia="仿宋_GB2312"/>
          <w:sz w:val="28"/>
          <w:szCs w:val="28"/>
        </w:rPr>
        <w:t>部</w:t>
      </w:r>
      <w:r>
        <w:rPr>
          <w:rFonts w:hint="eastAsia" w:ascii="仿宋_GB2312" w:hAnsi="仿宋" w:eastAsia="仿宋_GB2312" w:cs="宋体"/>
          <w:sz w:val="28"/>
          <w:szCs w:val="28"/>
        </w:rPr>
        <w:t>门</w:t>
      </w:r>
      <w:r>
        <w:rPr>
          <w:rFonts w:hint="eastAsia" w:ascii="仿宋_GB2312" w:hAnsi="仿宋" w:eastAsia="仿宋_GB2312"/>
          <w:sz w:val="28"/>
          <w:szCs w:val="28"/>
        </w:rPr>
        <w:t>的投</w:t>
      </w:r>
      <w:r>
        <w:rPr>
          <w:rFonts w:hint="eastAsia" w:ascii="仿宋_GB2312" w:hAnsi="仿宋" w:eastAsia="仿宋_GB2312" w:cs="宋体"/>
          <w:sz w:val="28"/>
          <w:szCs w:val="28"/>
        </w:rPr>
        <w:t>诉处</w:t>
      </w:r>
      <w:r>
        <w:rPr>
          <w:rFonts w:hint="eastAsia" w:ascii="仿宋_GB2312" w:hAnsi="仿宋" w:eastAsia="仿宋_GB2312"/>
          <w:sz w:val="28"/>
          <w:szCs w:val="28"/>
        </w:rPr>
        <w:t>理工作。</w:t>
      </w:r>
    </w:p>
    <w:p>
      <w:pPr>
        <w:spacing w:line="500" w:lineRule="exact"/>
        <w:ind w:firstLine="470" w:firstLineChars="168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六、供应商不得提供虚假资料、恶意串通或以其他不正当手段谋取中标或成交；</w:t>
      </w:r>
    </w:p>
    <w:p>
      <w:pPr>
        <w:spacing w:line="500" w:lineRule="exact"/>
        <w:ind w:firstLine="470" w:firstLineChars="168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七、供应商不得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进行虚假、恶意的质疑与投诉，阻碍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台山市国有粮食集团有限公司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采购活动的正常进行。</w:t>
      </w:r>
    </w:p>
    <w:p>
      <w:pPr>
        <w:spacing w:line="500" w:lineRule="exact"/>
        <w:ind w:firstLine="470" w:firstLineChars="168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八、供应商不得向采购人行贿或提供其他不正当利益。</w:t>
      </w:r>
    </w:p>
    <w:p>
      <w:pPr>
        <w:spacing w:line="500" w:lineRule="exact"/>
        <w:ind w:firstLine="470" w:firstLineChars="168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九、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供应商不得与采购人相互串通损害</w:t>
      </w:r>
      <w:r>
        <w:rPr>
          <w:rFonts w:hint="eastAsia" w:ascii="仿宋_GB2312" w:hAnsi="仿宋" w:eastAsia="仿宋_GB2312" w:cs="宋体"/>
          <w:kern w:val="0"/>
          <w:sz w:val="28"/>
          <w:szCs w:val="28"/>
          <w:lang w:eastAsia="zh-CN"/>
        </w:rPr>
        <w:t>公司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利益、社会公共利益和其他相关人的合法权益。</w:t>
      </w:r>
    </w:p>
    <w:p>
      <w:pPr>
        <w:spacing w:line="500" w:lineRule="exact"/>
        <w:ind w:firstLine="470" w:firstLineChars="168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十、</w:t>
      </w:r>
      <w:r>
        <w:rPr>
          <w:rFonts w:hint="eastAsia" w:ascii="仿宋_GB2312" w:hAnsi="仿宋" w:eastAsia="仿宋_GB2312"/>
          <w:bCs/>
          <w:sz w:val="28"/>
          <w:szCs w:val="28"/>
        </w:rPr>
        <w:t>供应商违反政府采购法律法规</w:t>
      </w:r>
      <w:r>
        <w:rPr>
          <w:rFonts w:hint="eastAsia" w:ascii="仿宋_GB2312" w:hAnsi="仿宋" w:eastAsia="仿宋_GB2312"/>
          <w:bCs/>
          <w:sz w:val="28"/>
          <w:szCs w:val="28"/>
          <w:lang w:eastAsia="zh-CN"/>
        </w:rPr>
        <w:t>或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台山市国有粮食集团有限公司供应商管理办法</w:t>
      </w:r>
      <w:r>
        <w:rPr>
          <w:rFonts w:hint="eastAsia" w:ascii="仿宋_GB2312" w:hAnsi="仿宋" w:eastAsia="仿宋_GB2312"/>
          <w:bCs/>
          <w:sz w:val="28"/>
          <w:szCs w:val="28"/>
        </w:rPr>
        <w:t>的</w:t>
      </w:r>
      <w:r>
        <w:rPr>
          <w:rFonts w:hint="eastAsia" w:ascii="仿宋_GB2312" w:hAnsi="仿宋" w:eastAsia="仿宋_GB2312"/>
          <w:sz w:val="28"/>
          <w:szCs w:val="28"/>
        </w:rPr>
        <w:t>，依法承担相应的法律责任。</w:t>
      </w:r>
    </w:p>
    <w:p>
      <w:pPr>
        <w:spacing w:line="500" w:lineRule="exact"/>
        <w:ind w:firstLine="470" w:firstLineChars="168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500" w:lineRule="exact"/>
        <w:ind w:firstLine="470" w:firstLineChars="168"/>
        <w:rPr>
          <w:rFonts w:hint="eastAsia" w:ascii="仿宋_GB2312" w:hAnsi="仿宋" w:eastAsia="仿宋_GB2312"/>
          <w:sz w:val="28"/>
          <w:szCs w:val="28"/>
        </w:rPr>
      </w:pPr>
      <w:bookmarkStart w:id="0" w:name="_GoBack"/>
      <w:bookmarkEnd w:id="0"/>
    </w:p>
    <w:p>
      <w:pPr>
        <w:spacing w:line="500" w:lineRule="exact"/>
        <w:ind w:firstLine="470" w:firstLineChars="168"/>
        <w:rPr>
          <w:rFonts w:hint="eastAsia" w:ascii="仿宋_GB2312" w:hAnsi="仿宋" w:eastAsia="仿宋_GB2312"/>
          <w:sz w:val="28"/>
          <w:szCs w:val="28"/>
        </w:rPr>
      </w:pPr>
    </w:p>
    <w:p>
      <w:pPr>
        <w:wordWrap w:val="0"/>
        <w:spacing w:line="500" w:lineRule="exact"/>
        <w:ind w:firstLine="470" w:firstLineChars="168"/>
        <w:jc w:val="right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t>台山市国有粮食集团有限公司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 </w:t>
      </w:r>
    </w:p>
    <w:p>
      <w:pPr>
        <w:spacing w:line="500" w:lineRule="exact"/>
        <w:ind w:firstLine="470" w:firstLineChars="168"/>
        <w:rPr>
          <w:rFonts w:hint="eastAsia" w:ascii="仿宋_GB2312" w:hAnsi="仿宋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375E4"/>
    <w:rsid w:val="1C481F79"/>
    <w:rsid w:val="4221296C"/>
    <w:rsid w:val="70C3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2022-02-09T02:01:00Z</dcterms:created>
  <dc:creator>陈茂新</dc:creator>
  <cp:lastModifiedBy>陈茂新</cp:lastModifiedBy>
  <dcterms:modified xsi:type="dcterms:W3CDTF">2022-02-18T00:56:22Z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FBE050AC25D046F99B487A760FF71056</vt:lpwstr>
  </property>
</Properties>
</file>